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华文中宋" w:hAnsi="华文中宋" w:eastAsia="华文中宋" w:cs="华文中宋"/>
          <w:b/>
          <w:bCs/>
          <w:sz w:val="36"/>
          <w:szCs w:val="36"/>
          <w:lang w:eastAsia="zh-Hans"/>
        </w:rPr>
      </w:pPr>
    </w:p>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hint="eastAsia" w:ascii="华文仿宋" w:hAnsi="华文仿宋" w:eastAsia="华文仿宋" w:cs="华文仿宋"/>
          <w:sz w:val="28"/>
          <w:szCs w:val="28"/>
        </w:rPr>
      </w:pP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w:t>
      </w:r>
      <w:r>
        <w:rPr>
          <w:rFonts w:hint="eastAsia" w:ascii="华文仿宋" w:hAnsi="华文仿宋" w:eastAsia="华文仿宋" w:cs="华文仿宋"/>
          <w:sz w:val="28"/>
          <w:szCs w:val="28"/>
          <w:lang w:eastAsia="zh-Hans"/>
        </w:rPr>
        <w:t>为</w:t>
      </w:r>
      <w:r>
        <w:rPr>
          <w:rFonts w:hint="eastAsia" w:ascii="华文仿宋" w:hAnsi="华文仿宋" w:eastAsia="华文仿宋" w:cs="华文仿宋"/>
          <w:sz w:val="28"/>
          <w:szCs w:val="28"/>
          <w:lang w:val="en-US" w:eastAsia="zh-CN"/>
        </w:rPr>
        <w:t>宁波顺圆针织品有限公司</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val="en-US" w:eastAsia="zh-CN"/>
        </w:rPr>
        <w:t>象山县</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lang w:val="en-US" w:eastAsia="zh-CN"/>
        </w:rPr>
        <w:t>5</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lang w:val="en-US" w:eastAsia="zh-CN"/>
        </w:rPr>
        <w:t>31</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受理宁波顺圆针织品有限公司的破产清算一案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default" w:ascii="华文仿宋" w:hAnsi="华文仿宋" w:eastAsia="华文仿宋" w:cs="华文仿宋"/>
          <w:sz w:val="28"/>
          <w:szCs w:val="28"/>
        </w:rPr>
        <w:t>4</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7</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eastAsia" w:ascii="华文仿宋" w:hAnsi="华文仿宋" w:eastAsia="华文仿宋" w:cs="华文仿宋"/>
          <w:color w:val="000000" w:themeColor="text1"/>
          <w:sz w:val="28"/>
          <w:szCs w:val="28"/>
          <w:highlight w:val="none"/>
          <w:lang w:val="en-US" w:eastAsia="zh-CN"/>
          <w14:textFill>
            <w14:solidFill>
              <w14:schemeClr w14:val="tx1"/>
            </w14:solidFill>
          </w14:textFill>
        </w:rPr>
        <w:t>22</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w:t>
      </w:r>
      <w:r>
        <w:rPr>
          <w:rFonts w:hint="eastAsia" w:ascii="华文仿宋" w:hAnsi="华文仿宋" w:eastAsia="华文仿宋" w:cs="华文仿宋"/>
          <w:color w:val="000000"/>
          <w:sz w:val="28"/>
          <w:szCs w:val="28"/>
          <w:u w:val="single"/>
          <w:lang w:val="en-US" w:eastAsia="zh-CN"/>
        </w:rPr>
        <w:t>8</w:t>
      </w:r>
      <w:r>
        <w:rPr>
          <w:rFonts w:hint="eastAsia" w:ascii="华文仿宋" w:hAnsi="华文仿宋" w:eastAsia="华文仿宋" w:cs="华文仿宋"/>
          <w:color w:val="000000"/>
          <w:sz w:val="28"/>
          <w:szCs w:val="28"/>
          <w:u w:val="single"/>
        </w:rPr>
        <w:t>层浙江海泰律师事务所，</w:t>
      </w:r>
      <w:r>
        <w:rPr>
          <w:rFonts w:hint="eastAsia" w:ascii="华文仿宋" w:hAnsi="华文仿宋" w:eastAsia="华文仿宋" w:cs="华文仿宋"/>
          <w:color w:val="000000"/>
          <w:sz w:val="28"/>
          <w:szCs w:val="28"/>
          <w:u w:val="single"/>
          <w:lang w:val="en-US" w:eastAsia="zh-CN"/>
        </w:rPr>
        <w:t>戴波</w:t>
      </w:r>
      <w:r>
        <w:rPr>
          <w:rFonts w:hint="eastAsia" w:ascii="华文仿宋" w:hAnsi="华文仿宋" w:eastAsia="华文仿宋" w:cs="华文仿宋"/>
          <w:color w:val="000000"/>
          <w:sz w:val="28"/>
          <w:szCs w:val="28"/>
          <w:u w:val="single"/>
        </w:rPr>
        <w:t>收，邮政编码：315104，联系电话：</w:t>
      </w:r>
      <w:r>
        <w:rPr>
          <w:rFonts w:hint="eastAsia" w:ascii="华文仿宋" w:hAnsi="华文仿宋" w:eastAsia="华文仿宋" w:cs="华文仿宋"/>
          <w:color w:val="000000"/>
          <w:sz w:val="28"/>
          <w:szCs w:val="28"/>
          <w:u w:val="single"/>
          <w:lang w:val="en-US" w:eastAsia="zh-CN"/>
        </w:rPr>
        <w:t>13306669668</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w:t>
      </w:r>
      <w:r>
        <w:rPr>
          <w:rFonts w:hint="eastAsia" w:ascii="华文仿宋" w:hAnsi="华文仿宋" w:eastAsia="华文仿宋" w:cs="华文仿宋"/>
          <w:color w:val="000000"/>
          <w:sz w:val="28"/>
          <w:szCs w:val="28"/>
          <w:u w:val="single"/>
          <w:lang w:val="en-US" w:eastAsia="zh-CN"/>
        </w:rPr>
        <w:t>8</w:t>
      </w:r>
      <w:r>
        <w:rPr>
          <w:rFonts w:hint="eastAsia" w:ascii="华文仿宋" w:hAnsi="华文仿宋" w:eastAsia="华文仿宋" w:cs="华文仿宋"/>
          <w:color w:val="000000"/>
          <w:sz w:val="28"/>
          <w:szCs w:val="28"/>
          <w:u w:val="single"/>
        </w:rPr>
        <w:t>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戴波律师</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val="en-US" w:eastAsia="zh-CN"/>
        </w:rPr>
        <w:t>宁波顺圆针织品有限公司</w:t>
      </w:r>
      <w:r>
        <w:rPr>
          <w:rFonts w:hint="eastAsia" w:ascii="华文仿宋" w:hAnsi="华文仿宋" w:eastAsia="华文仿宋" w:cs="华文仿宋"/>
          <w:sz w:val="28"/>
          <w:szCs w:val="28"/>
        </w:rPr>
        <w:t>管理人                                         20</w:t>
      </w:r>
      <w:r>
        <w:rPr>
          <w:rFonts w:ascii="华文仿宋" w:hAnsi="华文仿宋" w:eastAsia="华文仿宋" w:cs="华文仿宋"/>
          <w:sz w:val="28"/>
          <w:szCs w:val="28"/>
        </w:rPr>
        <w:t>2</w:t>
      </w:r>
      <w:r>
        <w:rPr>
          <w:rFonts w:hint="default" w:ascii="华文仿宋" w:hAnsi="华文仿宋" w:eastAsia="华文仿宋" w:cs="华文仿宋"/>
          <w:sz w:val="28"/>
          <w:szCs w:val="28"/>
        </w:rPr>
        <w:t>4</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6</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24</w:t>
      </w:r>
      <w:bookmarkStart w:id="0" w:name="_GoBack"/>
      <w:bookmarkEnd w:id="0"/>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lang w:val="en-US" w:eastAsia="zh-CN"/>
      </w:rPr>
      <w:t>宁波</w:t>
    </w:r>
    <w:r>
      <w:rPr>
        <w:rFonts w:hint="eastAsia" w:ascii="华文仿宋" w:hAnsi="华文仿宋" w:eastAsia="华文仿宋" w:cs="华文仿宋"/>
        <w:lang w:val="en-US" w:eastAsia="zh-Hans"/>
      </w:rPr>
      <w:t>市北仑区民诚劳务</w:t>
    </w:r>
    <w:r>
      <w:rPr>
        <w:rFonts w:hint="eastAsia" w:ascii="华文仿宋" w:hAnsi="华文仿宋" w:eastAsia="华文仿宋" w:cs="华文仿宋"/>
        <w:lang w:val="en-US" w:eastAsia="zh-CN"/>
      </w:rPr>
      <w:t>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06B2B435"/>
    <w:rsid w:val="29084FC5"/>
    <w:rsid w:val="2FE0014F"/>
    <w:rsid w:val="57D98F54"/>
    <w:rsid w:val="62660462"/>
    <w:rsid w:val="79DFEBDE"/>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2</TotalTime>
  <ScaleCrop>false</ScaleCrop>
  <LinksUpToDate>false</LinksUpToDate>
  <CharactersWithSpaces>1545</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2022-06-18T02:31:00Z</dcterms:created>
  <dc:creator>brucewu</dc:creator>
  <cp:lastModifiedBy> 戴波</cp:lastModifiedBy>
  <dcterms:modified xsi:type="dcterms:W3CDTF">2024-06-24T10:56:09Z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B5C0D3EEFD6FD7A749E0786682D86E84_43</vt:lpwstr>
  </property>
</Properties>
</file>