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2F38BB6">
      <w:pPr>
        <w:widowControl/>
        <w:spacing w:line="480" w:lineRule="exact"/>
        <w:jc w:val="center"/>
        <w:rPr>
          <w:rFonts w:ascii="仿宋_gb2312" w:hAnsi="仿宋_gb2312" w:eastAsia="仿宋_gb2312" w:cs="仿宋_gb2312"/>
          <w:color w:val="4C4948"/>
          <w:kern w:val="0"/>
          <w:sz w:val="36"/>
          <w:szCs w:val="36"/>
          <w:u w:val="none"/>
          <w:lang w:bidi="ar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u w:val="none"/>
          <w:lang w:bidi="ar"/>
        </w:rPr>
        <w:t>债权人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u w:val="none"/>
          <w:lang w:val="en-US" w:eastAsia="zh-Hans" w:bidi="ar"/>
        </w:rPr>
        <w:t>银行信息、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u w:val="none"/>
          <w:lang w:bidi="ar"/>
        </w:rPr>
        <w:t>送达地址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u w:val="none"/>
          <w:lang w:val="en-US" w:eastAsia="zh-Hans" w:bidi="ar"/>
        </w:rPr>
        <w:t>及联系方式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u w:val="none"/>
          <w:lang w:bidi="ar"/>
        </w:rPr>
        <w:t>确认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u w:val="none"/>
          <w:lang w:eastAsia="zh-Hans" w:bidi="ar"/>
        </w:rPr>
        <w:t>书</w:t>
      </w:r>
      <w:r>
        <w:rPr>
          <w:rFonts w:ascii="仿宋_gb2312" w:hAnsi="仿宋_gb2312" w:eastAsia="仿宋_gb2312" w:cs="仿宋_gb2312"/>
          <w:color w:val="4C4948"/>
          <w:kern w:val="0"/>
          <w:sz w:val="36"/>
          <w:szCs w:val="36"/>
          <w:u w:val="none"/>
          <w:lang w:bidi="ar"/>
        </w:rPr>
        <w:t> </w:t>
      </w:r>
    </w:p>
    <w:p w14:paraId="02B3CF74">
      <w:pPr>
        <w:widowControl/>
        <w:spacing w:line="480" w:lineRule="exact"/>
        <w:jc w:val="center"/>
        <w:rPr>
          <w:rFonts w:ascii="仿宋_gb2312" w:hAnsi="仿宋_gb2312" w:eastAsia="仿宋_gb2312" w:cs="仿宋_gb2312"/>
          <w:color w:val="4C4948"/>
          <w:kern w:val="0"/>
          <w:sz w:val="36"/>
          <w:szCs w:val="36"/>
          <w:u w:val="none"/>
          <w:lang w:eastAsia="zh-Hans" w:bidi="ar"/>
        </w:rPr>
      </w:pPr>
    </w:p>
    <w:tbl>
      <w:tblPr>
        <w:tblStyle w:val="4"/>
        <w:tblpPr w:vertAnchor="text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1186"/>
        <w:gridCol w:w="2786"/>
        <w:gridCol w:w="840"/>
        <w:gridCol w:w="510"/>
        <w:gridCol w:w="690"/>
        <w:gridCol w:w="1856"/>
      </w:tblGrid>
      <w:tr w14:paraId="183E4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073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FB297C"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债权人</w:t>
            </w:r>
          </w:p>
        </w:tc>
        <w:tc>
          <w:tcPr>
            <w:tcW w:w="7868" w:type="dxa"/>
            <w:gridSpan w:val="6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3E7B0C">
            <w:pPr>
              <w:widowControl/>
              <w:jc w:val="left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 </w:t>
            </w:r>
          </w:p>
        </w:tc>
      </w:tr>
      <w:tr w14:paraId="012EE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BA969E"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告知事项</w:t>
            </w:r>
          </w:p>
        </w:tc>
        <w:tc>
          <w:tcPr>
            <w:tcW w:w="786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71CDE9">
            <w:pPr>
              <w:widowControl/>
              <w:numPr>
                <w:ilvl w:val="0"/>
                <w:numId w:val="1"/>
              </w:numPr>
              <w:spacing w:line="380" w:lineRule="atLeast"/>
              <w:jc w:val="left"/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为便于债权人及时收到管理人文书，保证破产程序顺利进行，债权人应当如实提供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确切的银行信息、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送达地址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及联系方式等内容；</w:t>
            </w:r>
          </w:p>
          <w:p w14:paraId="097C2091">
            <w:pPr>
              <w:widowControl/>
              <w:numPr>
                <w:ilvl w:val="0"/>
                <w:numId w:val="0"/>
              </w:numPr>
              <w:spacing w:line="380" w:lineRule="atLeast"/>
              <w:jc w:val="left"/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2．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确认的银行信息、地址及联系方式适用于各个破产程序，包括：破产清算、和解、重整，以及同期与破产事务相关的其他事项；</w:t>
            </w:r>
          </w:p>
          <w:p w14:paraId="5356EE29">
            <w:pPr>
              <w:widowControl/>
              <w:spacing w:line="380" w:lineRule="atLeast"/>
              <w:jc w:val="left"/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3．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破产期间上述内容如有变更，应当及时告知管理人变更后的内容；</w:t>
            </w:r>
          </w:p>
          <w:p w14:paraId="385E63DD">
            <w:pPr>
              <w:widowControl/>
              <w:spacing w:line="380" w:lineRule="atLeast"/>
              <w:jc w:val="left"/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4．如果提供的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上述内容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不确切，或者不及时告知变更后的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内容，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使相应文书无法送达或未及时送达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的，无论债权人是否实际收到，均视为送达，债权人无法收到或无法及时收到分配款项的，管理人有权予以提存及按照相关法律规定予以处理，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债权人将自行承担由此可能产生的法律后果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；</w:t>
            </w:r>
          </w:p>
          <w:p w14:paraId="5A6E8A66">
            <w:pPr>
              <w:widowControl/>
              <w:spacing w:line="380" w:lineRule="atLeast"/>
              <w:jc w:val="left"/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</w:pPr>
            <w:r>
              <w:rPr>
                <w:rFonts w:hint="default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 xml:space="preserve">5. 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送达地址须与债权申报表中的联系地址保持一致。</w:t>
            </w:r>
          </w:p>
        </w:tc>
      </w:tr>
      <w:tr w14:paraId="199F2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73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510679">
            <w:pPr>
              <w:widowControl/>
              <w:jc w:val="center"/>
              <w:rPr>
                <w:rFonts w:hint="eastAsia" w:ascii="华文仿宋" w:hAnsi="华文仿宋" w:eastAsia="华文仿宋" w:cs="华文仿宋"/>
                <w:lang w:val="en-US" w:eastAsia="zh-Hans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u w:val="none"/>
                <w:lang w:val="en-US" w:eastAsia="zh-Hans"/>
              </w:rPr>
              <w:t>账户信息</w:t>
            </w:r>
          </w:p>
        </w:tc>
        <w:tc>
          <w:tcPr>
            <w:tcW w:w="786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5C6FF6">
            <w:pPr>
              <w:widowControl/>
              <w:spacing w:line="380" w:lineRule="atLeast"/>
              <w:jc w:val="left"/>
              <w:rPr>
                <w:rFonts w:hint="eastAsia" w:ascii="华文仿宋" w:hAnsi="华文仿宋" w:eastAsia="华文仿宋" w:cs="华文仿宋"/>
                <w:lang w:val="en-US" w:eastAsia="zh-Hans"/>
              </w:rPr>
            </w:pPr>
            <w:r>
              <w:rPr>
                <w:rFonts w:hint="eastAsia" w:ascii="华文仿宋" w:hAnsi="华文仿宋" w:eastAsia="华文仿宋" w:cs="华文仿宋"/>
                <w:u w:val="none"/>
                <w:lang w:val="en-US" w:eastAsia="zh-Hans"/>
              </w:rPr>
              <w:t>开户银行（具体到分行或支行）：</w:t>
            </w:r>
          </w:p>
        </w:tc>
      </w:tr>
      <w:tr w14:paraId="4F1EA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07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046A65">
            <w:pPr>
              <w:widowControl/>
              <w:spacing w:line="380" w:lineRule="atLeast"/>
              <w:jc w:val="left"/>
            </w:pPr>
          </w:p>
        </w:tc>
        <w:tc>
          <w:tcPr>
            <w:tcW w:w="786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43E713">
            <w:pPr>
              <w:widowControl/>
              <w:spacing w:line="380" w:lineRule="atLeast"/>
              <w:jc w:val="left"/>
              <w:rPr>
                <w:rFonts w:hint="eastAsia" w:ascii="华文仿宋" w:hAnsi="华文仿宋" w:eastAsia="华文仿宋" w:cs="华文仿宋"/>
                <w:u w:val="none"/>
                <w:lang w:val="en-US" w:eastAsia="zh-Hans"/>
              </w:rPr>
            </w:pPr>
            <w:r>
              <w:rPr>
                <w:rFonts w:hint="eastAsia" w:ascii="华文仿宋" w:hAnsi="华文仿宋" w:eastAsia="华文仿宋" w:cs="华文仿宋"/>
                <w:u w:val="none"/>
                <w:lang w:val="en-US" w:eastAsia="zh-Hans"/>
              </w:rPr>
              <w:t>账户名：</w:t>
            </w:r>
          </w:p>
        </w:tc>
      </w:tr>
      <w:tr w14:paraId="7FA59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07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07DC43">
            <w:pPr>
              <w:widowControl/>
              <w:spacing w:line="380" w:lineRule="atLeast"/>
              <w:jc w:val="left"/>
              <w:rPr>
                <w:rFonts w:hint="eastAsia" w:ascii="华文仿宋" w:hAnsi="华文仿宋" w:eastAsia="华文仿宋" w:cs="华文仿宋"/>
                <w:u w:val="none"/>
                <w:lang w:val="en-US" w:eastAsia="zh-Hans"/>
              </w:rPr>
            </w:pPr>
          </w:p>
        </w:tc>
        <w:tc>
          <w:tcPr>
            <w:tcW w:w="786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1EC0B8">
            <w:pPr>
              <w:widowControl/>
              <w:spacing w:line="380" w:lineRule="atLeast"/>
              <w:jc w:val="left"/>
              <w:rPr>
                <w:rFonts w:hint="eastAsia" w:ascii="华文仿宋" w:hAnsi="华文仿宋" w:eastAsia="华文仿宋" w:cs="华文仿宋"/>
                <w:u w:val="none"/>
                <w:lang w:val="en-US" w:eastAsia="zh-Hans"/>
              </w:rPr>
            </w:pPr>
            <w:r>
              <w:rPr>
                <w:rFonts w:hint="eastAsia" w:ascii="华文仿宋" w:hAnsi="华文仿宋" w:eastAsia="华文仿宋" w:cs="华文仿宋"/>
                <w:u w:val="none"/>
                <w:lang w:val="en-US" w:eastAsia="zh-Hans"/>
              </w:rPr>
              <w:t>账号：</w:t>
            </w:r>
          </w:p>
        </w:tc>
      </w:tr>
      <w:tr w14:paraId="202C3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073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0C3829"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送达地址</w:t>
            </w:r>
          </w:p>
          <w:p w14:paraId="50E8E030">
            <w:pPr>
              <w:jc w:val="center"/>
              <w:rPr>
                <w:rFonts w:ascii="华文仿宋" w:hAnsi="华文仿宋" w:eastAsia="华文仿宋" w:cs="华文仿宋"/>
                <w:color w:val="4C494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及方式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53C04B">
            <w:pPr>
              <w:widowControl/>
              <w:jc w:val="center"/>
              <w:rPr>
                <w:rFonts w:hint="eastAsia" w:ascii="华文仿宋" w:hAnsi="华文仿宋" w:eastAsia="华文仿宋" w:cs="华文仿宋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送达地址</w:t>
            </w:r>
          </w:p>
        </w:tc>
        <w:tc>
          <w:tcPr>
            <w:tcW w:w="66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DE7312">
            <w:pPr>
              <w:widowControl/>
              <w:jc w:val="left"/>
              <w:rPr>
                <w:rFonts w:ascii="华文仿宋" w:hAnsi="华文仿宋" w:eastAsia="华文仿宋" w:cs="华文仿宋"/>
              </w:rPr>
            </w:pPr>
          </w:p>
        </w:tc>
      </w:tr>
      <w:tr w14:paraId="2FF68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107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A82557">
            <w:pPr>
              <w:rPr>
                <w:rFonts w:ascii="华文仿宋" w:hAnsi="华文仿宋" w:eastAsia="华文仿宋" w:cs="华文仿宋"/>
                <w:color w:val="4C4948"/>
                <w:u w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7F2DF6">
            <w:pPr>
              <w:widowControl/>
              <w:jc w:val="center"/>
              <w:rPr>
                <w:rFonts w:hint="eastAsia" w:ascii="华文仿宋" w:hAnsi="华文仿宋" w:eastAsia="华文仿宋" w:cs="华文仿宋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联系人</w:t>
            </w:r>
          </w:p>
        </w:tc>
        <w:tc>
          <w:tcPr>
            <w:tcW w:w="41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163E48">
            <w:pPr>
              <w:widowControl/>
              <w:jc w:val="left"/>
              <w:rPr>
                <w:rFonts w:hint="eastAsia" w:ascii="华文仿宋" w:hAnsi="华文仿宋" w:eastAsia="华文仿宋" w:cs="华文仿宋"/>
                <w:u w:val="none"/>
                <w:lang w:val="en-US" w:eastAsia="zh-Hans"/>
              </w:rPr>
            </w:pPr>
          </w:p>
        </w:tc>
        <w:tc>
          <w:tcPr>
            <w:tcW w:w="254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7DB343">
            <w:pPr>
              <w:widowControl/>
              <w:jc w:val="left"/>
              <w:rPr>
                <w:rFonts w:hint="eastAsia" w:ascii="华文仿宋" w:hAnsi="华文仿宋" w:eastAsia="华文仿宋" w:cs="华文仿宋"/>
                <w:u w:val="none"/>
                <w:lang w:val="en-US" w:eastAsia="zh-Hans"/>
              </w:rPr>
            </w:pPr>
            <w:r>
              <w:rPr>
                <w:rFonts w:hint="eastAsia" w:ascii="华文仿宋" w:hAnsi="华文仿宋" w:eastAsia="华文仿宋" w:cs="华文仿宋"/>
                <w:u w:val="none"/>
                <w:lang w:val="en-US" w:eastAsia="zh-Hans"/>
              </w:rPr>
              <w:t>□本人（法定代表人）</w:t>
            </w:r>
          </w:p>
          <w:p w14:paraId="3893C395">
            <w:pPr>
              <w:widowControl/>
              <w:jc w:val="left"/>
              <w:rPr>
                <w:rFonts w:hint="eastAsia" w:ascii="华文仿宋" w:hAnsi="华文仿宋" w:eastAsia="华文仿宋" w:cs="华文仿宋"/>
                <w:lang w:val="en-US" w:eastAsia="zh-Hans"/>
              </w:rPr>
            </w:pPr>
            <w:r>
              <w:rPr>
                <w:rFonts w:hint="eastAsia" w:ascii="华文仿宋" w:hAnsi="华文仿宋" w:eastAsia="华文仿宋" w:cs="华文仿宋"/>
                <w:u w:val="none"/>
                <w:lang w:val="en-US" w:eastAsia="zh-Hans"/>
              </w:rPr>
              <w:t>□代理人</w:t>
            </w:r>
          </w:p>
        </w:tc>
      </w:tr>
      <w:tr w14:paraId="67466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07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BE76CD">
            <w:pPr>
              <w:rPr>
                <w:rFonts w:ascii="华文仿宋" w:hAnsi="华文仿宋" w:eastAsia="华文仿宋" w:cs="华文仿宋"/>
                <w:color w:val="4C4948"/>
                <w:u w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A5BB3F"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手机号码</w:t>
            </w:r>
          </w:p>
        </w:tc>
        <w:tc>
          <w:tcPr>
            <w:tcW w:w="27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58DE2D">
            <w:pPr>
              <w:widowControl/>
              <w:jc w:val="left"/>
              <w:rPr>
                <w:rFonts w:ascii="华文仿宋" w:hAnsi="华文仿宋" w:eastAsia="华文仿宋" w:cs="华文仿宋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791363">
            <w:pPr>
              <w:widowControl/>
              <w:jc w:val="center"/>
              <w:rPr>
                <w:rFonts w:hint="eastAsia" w:ascii="华文仿宋" w:hAnsi="华文仿宋" w:eastAsia="华文仿宋" w:cs="华文仿宋"/>
                <w:lang w:eastAsia="zh-Hans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邮箱</w:t>
            </w:r>
          </w:p>
        </w:tc>
        <w:tc>
          <w:tcPr>
            <w:tcW w:w="30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6713CB">
            <w:pPr>
              <w:widowControl/>
              <w:jc w:val="left"/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</w:pPr>
          </w:p>
        </w:tc>
      </w:tr>
      <w:tr w14:paraId="0B78D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073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0FC607">
            <w:pPr>
              <w:rPr>
                <w:rFonts w:ascii="华文仿宋" w:hAnsi="华文仿宋" w:eastAsia="华文仿宋" w:cs="华文仿宋"/>
                <w:color w:val="4C4948"/>
                <w:u w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D67A7B">
            <w:pPr>
              <w:widowControl/>
              <w:jc w:val="center"/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微信</w:t>
            </w:r>
            <w:r>
              <w:rPr>
                <w:rFonts w:hint="default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>/QQ</w:t>
            </w:r>
          </w:p>
        </w:tc>
        <w:tc>
          <w:tcPr>
            <w:tcW w:w="27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6812DF">
            <w:pPr>
              <w:widowControl/>
              <w:jc w:val="left"/>
              <w:rPr>
                <w:rFonts w:ascii="华文仿宋" w:hAnsi="华文仿宋" w:eastAsia="华文仿宋" w:cs="华文仿宋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27EE7C">
            <w:pPr>
              <w:widowControl/>
              <w:jc w:val="center"/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是否接受电子送达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3B5ECA">
            <w:pPr>
              <w:widowControl/>
              <w:jc w:val="left"/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□是</w:t>
            </w:r>
            <w:r>
              <w:rPr>
                <w:rFonts w:hint="default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 xml:space="preserve">     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□否</w:t>
            </w:r>
          </w:p>
        </w:tc>
      </w:tr>
      <w:tr w14:paraId="5F343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2" w:hRule="atLeast"/>
        </w:trPr>
        <w:tc>
          <w:tcPr>
            <w:tcW w:w="107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753622"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受送达人</w:t>
            </w:r>
          </w:p>
          <w:p w14:paraId="7831F536"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确认</w:t>
            </w:r>
          </w:p>
        </w:tc>
        <w:tc>
          <w:tcPr>
            <w:tcW w:w="786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C04623">
            <w:pPr>
              <w:widowControl/>
              <w:spacing w:line="360" w:lineRule="atLeast"/>
              <w:ind w:firstLine="440"/>
              <w:jc w:val="left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我已阅读（听明白）本确认书的告知事项，提供了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val="en-US" w:eastAsia="zh-Hans" w:bidi="ar"/>
              </w:rPr>
              <w:t>上述账户信息、送达地址信息及联系方式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，并保证所提供的各项内容是正确的、有效的。</w:t>
            </w:r>
          </w:p>
          <w:p w14:paraId="4CA2F010">
            <w:pPr>
              <w:widowControl/>
              <w:wordWrap w:val="0"/>
              <w:jc w:val="right"/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</w:pPr>
          </w:p>
          <w:p w14:paraId="72074B8D">
            <w:pPr>
              <w:widowControl/>
              <w:wordWrap w:val="0"/>
              <w:jc w:val="right"/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</w:pPr>
          </w:p>
          <w:p w14:paraId="721EAADF">
            <w:pPr>
              <w:widowControl/>
              <w:wordWrap w:val="0"/>
              <w:jc w:val="right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受送达人（签名或者盖章）                   </w:t>
            </w:r>
          </w:p>
          <w:p w14:paraId="5D7A9FE2">
            <w:pPr>
              <w:widowControl/>
              <w:jc w:val="right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 </w:t>
            </w:r>
          </w:p>
          <w:p w14:paraId="53115B29">
            <w:pPr>
              <w:widowControl/>
              <w:jc w:val="right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 xml:space="preserve">年 </w:t>
            </w:r>
            <w:r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eastAsia="zh-Hans" w:bidi="ar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 xml:space="preserve">月 </w:t>
            </w:r>
            <w:r>
              <w:rPr>
                <w:rFonts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日</w:t>
            </w:r>
          </w:p>
        </w:tc>
      </w:tr>
      <w:tr w14:paraId="13A4A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07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D95C41">
            <w:pPr>
              <w:widowControl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b/>
                <w:color w:val="000000"/>
                <w:kern w:val="0"/>
                <w:u w:val="none"/>
                <w:lang w:bidi="ar"/>
              </w:rPr>
              <w:t>备注</w:t>
            </w:r>
          </w:p>
        </w:tc>
        <w:tc>
          <w:tcPr>
            <w:tcW w:w="786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EBDB89">
            <w:pPr>
              <w:widowControl/>
              <w:jc w:val="left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u w:val="none"/>
                <w:lang w:bidi="ar"/>
              </w:rPr>
              <w:t> </w:t>
            </w:r>
          </w:p>
        </w:tc>
      </w:tr>
    </w:tbl>
    <w:p w14:paraId="3F077A92">
      <w:pPr>
        <w:rPr>
          <w:rFonts w:hint="eastAsia"/>
        </w:rPr>
      </w:pPr>
    </w:p>
    <w:p w14:paraId="234C4EDA">
      <w:pPr>
        <w:rPr>
          <w:rFonts w:hint="eastAsia"/>
        </w:rPr>
      </w:pPr>
    </w:p>
    <w:sectPr>
      <w:headerReference r:id="rId3" w:type="default"/>
      <w:pgSz w:w="11906" w:h="16838"/>
      <w:pgMar w:top="1417" w:right="1474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C09690">
    <w:pPr>
      <w:pStyle w:val="3"/>
      <w:pBdr>
        <w:bottom w:val="single" w:color="auto" w:sz="4" w:space="1"/>
      </w:pBdr>
      <w:rPr>
        <w:rFonts w:hint="eastAsia" w:ascii="华文仿宋" w:hAnsi="华文仿宋" w:eastAsia="华文仿宋" w:cs="华文仿宋"/>
        <w:u w:val="none"/>
        <w:lang w:val="en-US" w:eastAsia="zh-Hans"/>
      </w:rPr>
    </w:pPr>
    <w:r>
      <w:rPr>
        <w:rFonts w:hint="eastAsia" w:ascii="华文仿宋" w:hAnsi="华文仿宋" w:eastAsia="华文仿宋" w:cs="华文仿宋"/>
        <w:u w:val="none"/>
        <w:lang w:val="en-US" w:eastAsia="zh-CN"/>
      </w:rPr>
      <w:t>浙江西泠电器有限公司</w:t>
    </w:r>
    <w:r>
      <w:rPr>
        <w:rFonts w:hint="eastAsia" w:ascii="华文仿宋" w:hAnsi="华文仿宋" w:eastAsia="华文仿宋" w:cs="华文仿宋"/>
        <w:u w:val="none"/>
        <w:lang w:val="en-US" w:eastAsia="zh-Hans"/>
      </w:rPr>
      <w:t>破产清算案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CAE0C"/>
    <w:multiLevelType w:val="singleLevel"/>
    <w:tmpl w:val="5FBCAE0C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mMjUyOTU0OWFiMmEzZDU5OTlhOTZmYzhhNGJlOTkifQ=="/>
  </w:docVars>
  <w:rsids>
    <w:rsidRoot w:val="75FD8DF3"/>
    <w:rsid w:val="000C46D2"/>
    <w:rsid w:val="002D7910"/>
    <w:rsid w:val="00C50F4A"/>
    <w:rsid w:val="00ED6133"/>
    <w:rsid w:val="3FD74B52"/>
    <w:rsid w:val="512B7FB7"/>
    <w:rsid w:val="6E6BD829"/>
    <w:rsid w:val="75FD8DF3"/>
    <w:rsid w:val="776E2742"/>
    <w:rsid w:val="7BAED72A"/>
    <w:rsid w:val="7D8DC216"/>
    <w:rsid w:val="7EE5C7AD"/>
    <w:rsid w:val="7F613A4B"/>
    <w:rsid w:val="7FB3383C"/>
    <w:rsid w:val="B7B958CF"/>
    <w:rsid w:val="D6F3199A"/>
    <w:rsid w:val="D7FB7400"/>
    <w:rsid w:val="FAE4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u w:val="single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482</Words>
  <Characters>485</Characters>
  <Lines>4</Lines>
  <Paragraphs>1</Paragraphs>
  <TotalTime>0</TotalTime>
  <ScaleCrop>false</ScaleCrop>
  <LinksUpToDate>false</LinksUpToDate>
  <CharactersWithSpaces>518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2020-11-19T20:58:00Z</dcterms:created>
  <dc:creator>linji</dc:creator>
  <cp:lastModifiedBy>克</cp:lastModifiedBy>
  <dcterms:modified xsi:type="dcterms:W3CDTF">2026-02-10T07:01:06Z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56E9563959DC8981A0DD2167ADA4100E_42</vt:lpwstr>
  </property>
  <property fmtid="{D5CDD505-2E9C-101B-9397-08002B2CF9AE}" pid="4" name="KSOTemplateDocerSaveRecord">
    <vt:lpwstr>eyJoZGlkIjoiOTg4NmQ3MTQyMTYyM2U2ZGMyNDQxOGNjZGY5ZmUwMmIiLCJ1c2VySWQiOiI2NzYzNTMwMzMifQ==</vt:lpwstr>
  </property>
</Properties>
</file>